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0928566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21"/>
        <w:gridCol w:w="1833"/>
        <w:gridCol w:w="275"/>
        <w:gridCol w:w="934"/>
        <w:gridCol w:w="34"/>
        <w:gridCol w:w="1176"/>
        <w:gridCol w:w="346"/>
        <w:gridCol w:w="251"/>
        <w:gridCol w:w="657"/>
        <w:gridCol w:w="729"/>
        <w:gridCol w:w="550"/>
        <w:gridCol w:w="1176"/>
        <w:gridCol w:w="1064"/>
      </w:tblGrid>
      <w:tr w:rsidR="00D94187" w14:paraId="643A9D37" w14:textId="77777777" w:rsidTr="00342B43">
        <w:tc>
          <w:tcPr>
            <w:tcW w:w="166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08" w:type="dxa"/>
            <w:gridSpan w:val="2"/>
            <w:vAlign w:val="center"/>
          </w:tcPr>
          <w:p w14:paraId="5EC7F3BC" w14:textId="5F282B4D" w:rsidR="00D94187" w:rsidRDefault="0008640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</w:t>
            </w:r>
          </w:p>
        </w:tc>
        <w:tc>
          <w:tcPr>
            <w:tcW w:w="934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6" w:type="dxa"/>
            <w:gridSpan w:val="3"/>
            <w:vAlign w:val="center"/>
          </w:tcPr>
          <w:p w14:paraId="7440023D" w14:textId="634C0B0A" w:rsidR="00D94187" w:rsidRDefault="00D90FA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李祖儀</w:t>
            </w:r>
          </w:p>
        </w:tc>
        <w:tc>
          <w:tcPr>
            <w:tcW w:w="1637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90" w:type="dxa"/>
            <w:gridSpan w:val="3"/>
            <w:vAlign w:val="center"/>
          </w:tcPr>
          <w:p w14:paraId="3FC0D866" w14:textId="7FD50C6D" w:rsidR="00D94187" w:rsidRDefault="0008640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08640B">
              <w:rPr>
                <w:rFonts w:ascii="標楷體" w:eastAsia="標楷體" w:hAnsi="標楷體" w:hint="eastAsia"/>
                <w:szCs w:val="36"/>
              </w:rPr>
              <w:t>公民與社會3(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龍騰</w:t>
            </w:r>
            <w:r w:rsidRPr="0008640B">
              <w:rPr>
                <w:rFonts w:ascii="標楷體" w:eastAsia="標楷體" w:hAnsi="標楷體" w:hint="eastAsia"/>
                <w:szCs w:val="36"/>
              </w:rPr>
              <w:t>乙版</w:t>
            </w:r>
            <w:proofErr w:type="gramEnd"/>
            <w:r w:rsidRPr="0008640B">
              <w:rPr>
                <w:rFonts w:ascii="標楷體" w:eastAsia="標楷體" w:hAnsi="標楷體" w:hint="eastAsia"/>
                <w:szCs w:val="36"/>
              </w:rPr>
              <w:t>)</w:t>
            </w:r>
          </w:p>
        </w:tc>
      </w:tr>
      <w:tr w:rsidR="00D90FA2" w14:paraId="12EB911B" w14:textId="77777777" w:rsidTr="00342B43">
        <w:trPr>
          <w:trHeight w:val="540"/>
        </w:trPr>
        <w:tc>
          <w:tcPr>
            <w:tcW w:w="1667" w:type="dxa"/>
            <w:gridSpan w:val="2"/>
            <w:vMerge w:val="restart"/>
            <w:shd w:val="clear" w:color="auto" w:fill="00FFFF"/>
            <w:vAlign w:val="center"/>
          </w:tcPr>
          <w:p w14:paraId="37AE30DB" w14:textId="6EC6A5AE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833" w:type="dxa"/>
            <w:shd w:val="clear" w:color="auto" w:fill="00FFFF"/>
            <w:vAlign w:val="center"/>
          </w:tcPr>
          <w:p w14:paraId="30950E49" w14:textId="77777777" w:rsidR="00D90FA2" w:rsidRDefault="00D90FA2" w:rsidP="00D90FA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43" w:type="dxa"/>
            <w:gridSpan w:val="3"/>
            <w:shd w:val="clear" w:color="auto" w:fill="00FFFF"/>
            <w:vAlign w:val="center"/>
          </w:tcPr>
          <w:p w14:paraId="6151E05B" w14:textId="2524944C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04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1D18FB19" w14:textId="1E1F8231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254" w:type="dxa"/>
            <w:gridSpan w:val="3"/>
            <w:shd w:val="clear" w:color="auto" w:fill="00FFFF"/>
            <w:vAlign w:val="center"/>
          </w:tcPr>
          <w:p w14:paraId="6265A11B" w14:textId="545F1374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FE27D65" w14:textId="0FBF1BCC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5EF17DCE" w14:textId="7FE0A6FA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14</w:t>
            </w:r>
          </w:p>
        </w:tc>
        <w:tc>
          <w:tcPr>
            <w:tcW w:w="1064" w:type="dxa"/>
            <w:shd w:val="clear" w:color="auto" w:fill="00FFFF"/>
            <w:vAlign w:val="center"/>
          </w:tcPr>
          <w:p w14:paraId="71743A40" w14:textId="77777777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90FA2" w14:paraId="2BA1A7B7" w14:textId="77777777" w:rsidTr="00342B43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22A62FE" w14:textId="77777777" w:rsidR="00D90FA2" w:rsidRPr="00227FFD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33" w:type="dxa"/>
            <w:shd w:val="clear" w:color="auto" w:fill="00FFFF"/>
            <w:vAlign w:val="center"/>
          </w:tcPr>
          <w:p w14:paraId="5F248E3A" w14:textId="77777777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43" w:type="dxa"/>
            <w:gridSpan w:val="3"/>
            <w:shd w:val="clear" w:color="auto" w:fill="00FFFF"/>
            <w:vAlign w:val="center"/>
          </w:tcPr>
          <w:p w14:paraId="18712CE7" w14:textId="181110EE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dshhs3u7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48D447A0" w14:textId="186FBA3B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0A1949">
              <w:rPr>
                <w:rFonts w:ascii="標楷體" w:eastAsia="標楷體" w:hAnsi="標楷體"/>
                <w:szCs w:val="36"/>
              </w:rPr>
              <w:t>kuspxjzz</w:t>
            </w:r>
            <w:proofErr w:type="spellEnd"/>
          </w:p>
        </w:tc>
        <w:tc>
          <w:tcPr>
            <w:tcW w:w="1254" w:type="dxa"/>
            <w:gridSpan w:val="3"/>
            <w:shd w:val="clear" w:color="auto" w:fill="00FFFF"/>
            <w:vAlign w:val="center"/>
          </w:tcPr>
          <w:p w14:paraId="12CC9753" w14:textId="1A471D41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i5gdjat4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DD60898" w14:textId="0D7B27AD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ol6tervy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271486F6" w14:textId="4EBCDC8E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752hgwh6</w:t>
            </w:r>
          </w:p>
        </w:tc>
        <w:tc>
          <w:tcPr>
            <w:tcW w:w="1064" w:type="dxa"/>
            <w:shd w:val="clear" w:color="auto" w:fill="00FFFF"/>
            <w:vAlign w:val="center"/>
          </w:tcPr>
          <w:p w14:paraId="598A59BE" w14:textId="77777777" w:rsidR="00D90FA2" w:rsidRDefault="00D90FA2" w:rsidP="00D90F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342B43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33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43" w:type="dxa"/>
            <w:gridSpan w:val="3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gridSpan w:val="3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64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342B43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33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43" w:type="dxa"/>
            <w:gridSpan w:val="3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gridSpan w:val="3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64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342B43">
        <w:tc>
          <w:tcPr>
            <w:tcW w:w="1667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25" w:type="dxa"/>
            <w:gridSpan w:val="12"/>
            <w:vAlign w:val="center"/>
          </w:tcPr>
          <w:p w14:paraId="540B15A6" w14:textId="77777777" w:rsidR="00342B43" w:rsidRDefault="007F014B" w:rsidP="00342B4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b/>
                <w:bCs/>
                <w:szCs w:val="36"/>
              </w:rPr>
              <w:t>理解資源分配與理性決策</w:t>
            </w:r>
            <w:r w:rsidRPr="007F014B">
              <w:rPr>
                <w:rFonts w:ascii="標楷體" w:eastAsia="標楷體" w:hAnsi="標楷體" w:hint="eastAsia"/>
                <w:szCs w:val="36"/>
              </w:rPr>
              <w:t>：能理解時間、金錢與天然資源的有限性，學會運用理性選擇與專業分工來提升資源分配的效率。</w:t>
            </w:r>
          </w:p>
          <w:p w14:paraId="217371BA" w14:textId="63C5680E" w:rsidR="00342B43" w:rsidRDefault="007F014B" w:rsidP="00342B4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b/>
                <w:bCs/>
                <w:szCs w:val="36"/>
              </w:rPr>
              <w:t>分析市場機制與法律保障</w:t>
            </w:r>
            <w:r w:rsidRPr="00342B43">
              <w:rPr>
                <w:rFonts w:ascii="標楷體" w:eastAsia="標楷體" w:hAnsi="標楷體" w:hint="eastAsia"/>
                <w:szCs w:val="36"/>
              </w:rPr>
              <w:t>：能掌握市場供需運作、價格決定機制，以及法律在自由經濟交易中所扮演的保障與限制角色。</w:t>
            </w:r>
          </w:p>
          <w:p w14:paraId="74F566CB" w14:textId="2735D693" w:rsidR="00342B43" w:rsidRDefault="007F014B" w:rsidP="00342B4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b/>
                <w:bCs/>
                <w:szCs w:val="36"/>
              </w:rPr>
              <w:t>評估政府管制與社會公平</w:t>
            </w:r>
            <w:r w:rsidRPr="00342B43">
              <w:rPr>
                <w:rFonts w:ascii="標楷體" w:eastAsia="標楷體" w:hAnsi="標楷體" w:hint="eastAsia"/>
                <w:szCs w:val="36"/>
              </w:rPr>
              <w:t>：能思辨經濟效率與社會公平的權衡，並分析政府在處理外部效果與干預市場時的合適性。</w:t>
            </w:r>
          </w:p>
          <w:p w14:paraId="46663355" w14:textId="5775980C" w:rsidR="00342B43" w:rsidRDefault="007F014B" w:rsidP="00342B4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b/>
                <w:bCs/>
                <w:szCs w:val="36"/>
              </w:rPr>
              <w:t>探究國民所得與永續發展</w:t>
            </w:r>
            <w:r w:rsidRPr="00342B43">
              <w:rPr>
                <w:rFonts w:ascii="標楷體" w:eastAsia="標楷體" w:hAnsi="標楷體" w:hint="eastAsia"/>
                <w:szCs w:val="36"/>
              </w:rPr>
              <w:t>：能解讀國民所得指標，並在追求經濟成長的同時，實踐兼顧社會進步與環境保護的永續發展價值。</w:t>
            </w:r>
          </w:p>
          <w:p w14:paraId="3EEEE91F" w14:textId="5556EB9C" w:rsidR="00055BC0" w:rsidRPr="00342B43" w:rsidRDefault="007F014B" w:rsidP="00342B4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b/>
                <w:bCs/>
                <w:szCs w:val="36"/>
              </w:rPr>
              <w:t>反思國際貿易與全球連結</w:t>
            </w:r>
            <w:r w:rsidRPr="00342B43">
              <w:rPr>
                <w:rFonts w:ascii="標楷體" w:eastAsia="標楷體" w:hAnsi="標楷體" w:hint="eastAsia"/>
                <w:szCs w:val="36"/>
              </w:rPr>
              <w:t>：能評估貿易自由化與管制對各國經濟的影響，並在緊密的全球化網絡中培養對社會現象的</w:t>
            </w:r>
            <w:proofErr w:type="gramStart"/>
            <w:r w:rsidRPr="00342B43">
              <w:rPr>
                <w:rFonts w:ascii="標楷體" w:eastAsia="標楷體" w:hAnsi="標楷體" w:hint="eastAsia"/>
                <w:szCs w:val="36"/>
              </w:rPr>
              <w:t>區辨與反</w:t>
            </w:r>
            <w:proofErr w:type="gramEnd"/>
            <w:r w:rsidRPr="00342B43">
              <w:rPr>
                <w:rFonts w:ascii="標楷體" w:eastAsia="標楷體" w:hAnsi="標楷體" w:hint="eastAsia"/>
                <w:szCs w:val="36"/>
              </w:rPr>
              <w:t>思能力。</w:t>
            </w:r>
          </w:p>
        </w:tc>
      </w:tr>
      <w:tr w:rsidR="00FE5B18" w14:paraId="12F236EE" w14:textId="77777777" w:rsidTr="00342B43">
        <w:tc>
          <w:tcPr>
            <w:tcW w:w="1667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25" w:type="dxa"/>
            <w:gridSpan w:val="12"/>
            <w:vAlign w:val="center"/>
          </w:tcPr>
          <w:p w14:paraId="4F65E43F" w14:textId="36245DA5" w:rsidR="00FE5B18" w:rsidRDefault="00342B43" w:rsidP="00342B4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講述法、議題討論法、小組討論</w:t>
            </w:r>
          </w:p>
        </w:tc>
      </w:tr>
      <w:tr w:rsidR="00DB6C20" w14:paraId="118056BB" w14:textId="77777777" w:rsidTr="00342B43">
        <w:tc>
          <w:tcPr>
            <w:tcW w:w="1667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25" w:type="dxa"/>
            <w:gridSpan w:val="12"/>
            <w:vAlign w:val="center"/>
          </w:tcPr>
          <w:p w14:paraId="283B9999" w14:textId="6ED0E6E0" w:rsidR="00DB6C20" w:rsidRDefault="007F014B" w:rsidP="00342B4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平時成績:50%；第一次段考:15%；第一二次段考:15%；第三次段考:20%；</w:t>
            </w:r>
          </w:p>
        </w:tc>
      </w:tr>
      <w:tr w:rsidR="00FE5B18" w14:paraId="3666C334" w14:textId="77777777" w:rsidTr="00342B43">
        <w:tc>
          <w:tcPr>
            <w:tcW w:w="1667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25" w:type="dxa"/>
            <w:gridSpan w:val="12"/>
            <w:vAlign w:val="center"/>
          </w:tcPr>
          <w:p w14:paraId="141CF81A" w14:textId="4EA58A90" w:rsidR="00342B43" w:rsidRDefault="00342B43" w:rsidP="00342B4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臺灣吧 Taiwan Bar</w:t>
            </w:r>
            <w:r>
              <w:rPr>
                <w:rFonts w:ascii="標楷體" w:eastAsia="標楷體" w:hAnsi="標楷體" w:hint="eastAsia"/>
                <w:szCs w:val="36"/>
              </w:rPr>
              <w:t>、</w:t>
            </w:r>
            <w:r w:rsidRPr="00342B43">
              <w:rPr>
                <w:rFonts w:ascii="標楷體" w:eastAsia="標楷體" w:hAnsi="標楷體" w:hint="eastAsia"/>
                <w:szCs w:val="36"/>
              </w:rPr>
              <w:t>均一教育平台</w:t>
            </w:r>
            <w:r>
              <w:rPr>
                <w:rFonts w:ascii="標楷體" w:eastAsia="標楷體" w:hAnsi="標楷體" w:hint="eastAsia"/>
                <w:szCs w:val="36"/>
              </w:rPr>
              <w:t>、報導者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等線上新聞</w:t>
            </w:r>
            <w:proofErr w:type="gramEnd"/>
          </w:p>
        </w:tc>
      </w:tr>
      <w:tr w:rsidR="00DC05A7" w14:paraId="523AD4A9" w14:textId="77777777" w:rsidTr="001F460D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65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016" w:type="dxa"/>
            <w:gridSpan w:val="6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4176" w:type="dxa"/>
            <w:gridSpan w:val="5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1F460D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016" w:type="dxa"/>
            <w:gridSpan w:val="6"/>
            <w:vAlign w:val="center"/>
          </w:tcPr>
          <w:p w14:paraId="638A1681" w14:textId="3FC1A881" w:rsidR="00462D41" w:rsidRDefault="00342B43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課程說明</w:t>
            </w:r>
          </w:p>
        </w:tc>
        <w:tc>
          <w:tcPr>
            <w:tcW w:w="4176" w:type="dxa"/>
            <w:gridSpan w:val="5"/>
            <w:vAlign w:val="center"/>
          </w:tcPr>
          <w:p w14:paraId="438E3731" w14:textId="77777777" w:rsidR="00462D41" w:rsidRDefault="00462D41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1F460D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016" w:type="dxa"/>
            <w:gridSpan w:val="6"/>
            <w:vAlign w:val="center"/>
          </w:tcPr>
          <w:p w14:paraId="187E2F85" w14:textId="17359280" w:rsidR="00462D41" w:rsidRDefault="00462D41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4176" w:type="dxa"/>
            <w:gridSpan w:val="5"/>
            <w:vAlign w:val="center"/>
          </w:tcPr>
          <w:p w14:paraId="3BF1BBE9" w14:textId="77777777" w:rsidR="00462D41" w:rsidRDefault="00462D41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1F460D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016" w:type="dxa"/>
            <w:gridSpan w:val="6"/>
            <w:vAlign w:val="center"/>
          </w:tcPr>
          <w:p w14:paraId="550604F6" w14:textId="7C1C3A21" w:rsidR="00462D41" w:rsidRDefault="00462D41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4176" w:type="dxa"/>
            <w:gridSpan w:val="5"/>
            <w:vAlign w:val="center"/>
          </w:tcPr>
          <w:p w14:paraId="62F92AAE" w14:textId="77777777" w:rsidR="00462D41" w:rsidRDefault="00462D41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F460D" w14:paraId="1A3B0F6B" w14:textId="77777777" w:rsidTr="001F460D">
        <w:tc>
          <w:tcPr>
            <w:tcW w:w="846" w:type="dxa"/>
            <w:vAlign w:val="center"/>
          </w:tcPr>
          <w:p w14:paraId="41FBB541" w14:textId="5FF2AB2C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54242669" w:rsidR="001F460D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1F460D" w:rsidRPr="00E77D6A" w:rsidRDefault="001F460D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1F460D" w:rsidRPr="00BB6CA1" w:rsidRDefault="001F460D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016" w:type="dxa"/>
            <w:gridSpan w:val="6"/>
            <w:vAlign w:val="center"/>
          </w:tcPr>
          <w:p w14:paraId="78DD0462" w14:textId="1CE61140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第一課：社會資源的分配</w:t>
            </w:r>
          </w:p>
        </w:tc>
        <w:tc>
          <w:tcPr>
            <w:tcW w:w="4176" w:type="dxa"/>
            <w:gridSpan w:val="5"/>
            <w:vMerge w:val="restart"/>
            <w:vAlign w:val="center"/>
          </w:tcPr>
          <w:p w14:paraId="02DD3AA7" w14:textId="1D72C01E" w:rsidR="001F460D" w:rsidRDefault="001F460D" w:rsidP="001F460D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機會成本與邊際效益：學習以「邊際」觀點思考，理解當邊際效益大於邊際成本時才進行決策，並精確</w:t>
            </w:r>
            <w:r w:rsidRPr="001F460D">
              <w:rPr>
                <w:rFonts w:ascii="標楷體" w:eastAsia="標楷體" w:hAnsi="標楷體" w:hint="eastAsia"/>
                <w:szCs w:val="36"/>
              </w:rPr>
              <w:lastRenderedPageBreak/>
              <w:t>計算包含隱性成本的機會成本</w:t>
            </w:r>
          </w:p>
          <w:p w14:paraId="5EAACF4E" w14:textId="77777777" w:rsidR="001F460D" w:rsidRDefault="001F460D" w:rsidP="001F460D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生產可能曲線 (PPC)：探究在資源有限下，如何透過 PPC 模型理解效率、失業及經濟成長的意涵。</w:t>
            </w:r>
          </w:p>
          <w:p w14:paraId="51FE0CBA" w14:textId="4BCEFC1D" w:rsidR="001F460D" w:rsidRPr="001F460D" w:rsidRDefault="001F460D" w:rsidP="001F460D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制度與誘因：分析政府如何透過改變誘因（如補貼或罰款）來導引個人行為，以達成政策目標</w:t>
            </w:r>
          </w:p>
        </w:tc>
      </w:tr>
      <w:tr w:rsidR="001F460D" w14:paraId="2030FAB3" w14:textId="77777777" w:rsidTr="001F460D">
        <w:tc>
          <w:tcPr>
            <w:tcW w:w="846" w:type="dxa"/>
            <w:vAlign w:val="center"/>
          </w:tcPr>
          <w:p w14:paraId="66CB3929" w14:textId="3D83F82A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76CD66E0" w:rsidR="001F460D" w:rsidRPr="0017712F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016" w:type="dxa"/>
            <w:gridSpan w:val="6"/>
            <w:vAlign w:val="center"/>
          </w:tcPr>
          <w:p w14:paraId="0BC09E6F" w14:textId="7B346ED3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第一課：社會資源的分配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778ABAE6" w14:textId="2999EE5F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F460D" w14:paraId="46BF9C26" w14:textId="77777777" w:rsidTr="001F460D">
        <w:tc>
          <w:tcPr>
            <w:tcW w:w="846" w:type="dxa"/>
            <w:vAlign w:val="center"/>
          </w:tcPr>
          <w:p w14:paraId="120E634C" w14:textId="204CFE04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0F02CC4" w:rsidR="001F460D" w:rsidRPr="0017712F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016" w:type="dxa"/>
            <w:gridSpan w:val="6"/>
            <w:vAlign w:val="center"/>
          </w:tcPr>
          <w:p w14:paraId="2F49D76A" w14:textId="62A6ACED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第二課：需求與供給</w:t>
            </w:r>
          </w:p>
        </w:tc>
        <w:tc>
          <w:tcPr>
            <w:tcW w:w="4176" w:type="dxa"/>
            <w:gridSpan w:val="5"/>
            <w:vMerge w:val="restart"/>
            <w:vAlign w:val="center"/>
          </w:tcPr>
          <w:p w14:paraId="2FA97A93" w14:textId="77777777" w:rsidR="001F460D" w:rsidRDefault="001F460D" w:rsidP="001F460D">
            <w:pPr>
              <w:pStyle w:val="a8"/>
              <w:numPr>
                <w:ilvl w:val="0"/>
                <w:numId w:val="3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變動因素分析：區分「需求量的變動」與「需求的變動」，分析所得、偏好及相關物品價格如何影響市場趨勢 。</w:t>
            </w:r>
          </w:p>
          <w:p w14:paraId="3ED9DB52" w14:textId="31C6EBAD" w:rsidR="001F460D" w:rsidRPr="001F460D" w:rsidRDefault="001F460D" w:rsidP="001F460D">
            <w:pPr>
              <w:pStyle w:val="a8"/>
              <w:numPr>
                <w:ilvl w:val="0"/>
                <w:numId w:val="3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消費者權益與契約自由：</w:t>
            </w:r>
            <w:proofErr w:type="gramStart"/>
            <w:r w:rsidRPr="001F460D">
              <w:rPr>
                <w:rFonts w:ascii="標楷體" w:eastAsia="標楷體" w:hAnsi="標楷體" w:hint="eastAsia"/>
                <w:szCs w:val="36"/>
              </w:rPr>
              <w:t>研</w:t>
            </w:r>
            <w:proofErr w:type="gramEnd"/>
            <w:r w:rsidRPr="001F460D">
              <w:rPr>
                <w:rFonts w:ascii="標楷體" w:eastAsia="標楷體" w:hAnsi="標楷體" w:hint="eastAsia"/>
                <w:szCs w:val="36"/>
              </w:rPr>
              <w:t>讀《消費者保護法》中關於定型化契約、郵購買賣的規定，理解法律如何在尊重契約自由的同時保障消費者 。</w:t>
            </w:r>
          </w:p>
        </w:tc>
      </w:tr>
      <w:tr w:rsidR="001F460D" w14:paraId="169A2820" w14:textId="77777777" w:rsidTr="001F460D">
        <w:tc>
          <w:tcPr>
            <w:tcW w:w="846" w:type="dxa"/>
            <w:vAlign w:val="center"/>
          </w:tcPr>
          <w:p w14:paraId="3FD642F5" w14:textId="05F4244B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CF2240A" w:rsidR="001F460D" w:rsidRPr="00542D5D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016" w:type="dxa"/>
            <w:gridSpan w:val="6"/>
            <w:vAlign w:val="center"/>
          </w:tcPr>
          <w:p w14:paraId="64BE83EA" w14:textId="7F865C90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第二課：需求與供給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7BD78870" w14:textId="77777777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42B43" w14:paraId="1B82A2A4" w14:textId="77777777" w:rsidTr="000714C7">
        <w:tc>
          <w:tcPr>
            <w:tcW w:w="846" w:type="dxa"/>
            <w:vAlign w:val="center"/>
          </w:tcPr>
          <w:p w14:paraId="33021BC8" w14:textId="4E3130BD" w:rsidR="00342B43" w:rsidRDefault="00342B43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387D839" w:rsidR="00342B43" w:rsidRDefault="00342B43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42B43" w:rsidRDefault="00342B43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342B43" w:rsidRPr="00E77D6A" w:rsidRDefault="00342B43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7192" w:type="dxa"/>
            <w:gridSpan w:val="11"/>
            <w:vAlign w:val="center"/>
          </w:tcPr>
          <w:p w14:paraId="0B782726" w14:textId="1C92E5FA" w:rsidR="00342B43" w:rsidRDefault="00342B43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第一次段考</w:t>
            </w:r>
          </w:p>
        </w:tc>
      </w:tr>
      <w:tr w:rsidR="001F460D" w14:paraId="368E2364" w14:textId="77777777" w:rsidTr="001F460D">
        <w:tc>
          <w:tcPr>
            <w:tcW w:w="846" w:type="dxa"/>
            <w:vAlign w:val="center"/>
          </w:tcPr>
          <w:p w14:paraId="7DA62C24" w14:textId="452FF1C0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654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3ECC7215" w:rsidR="001F460D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1F460D" w:rsidRDefault="001F460D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1F460D" w:rsidRPr="00E77D6A" w:rsidRDefault="001F460D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7192" w:type="dxa"/>
            <w:gridSpan w:val="11"/>
            <w:vAlign w:val="center"/>
          </w:tcPr>
          <w:p w14:paraId="62ECEEB3" w14:textId="4FA738B2" w:rsidR="001F460D" w:rsidRDefault="001F460D" w:rsidP="001F46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高二教育旅行</w:t>
            </w:r>
          </w:p>
        </w:tc>
      </w:tr>
      <w:tr w:rsidR="001F460D" w14:paraId="4C3FF8BE" w14:textId="77777777" w:rsidTr="001F460D">
        <w:tc>
          <w:tcPr>
            <w:tcW w:w="846" w:type="dxa"/>
            <w:vAlign w:val="center"/>
          </w:tcPr>
          <w:p w14:paraId="05F08F6B" w14:textId="47F2B9C2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654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313FC967" w:rsidR="001F460D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1F460D" w:rsidRPr="0017712F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016" w:type="dxa"/>
            <w:gridSpan w:val="6"/>
            <w:vAlign w:val="center"/>
          </w:tcPr>
          <w:p w14:paraId="2E418B5B" w14:textId="3BB34D2F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第三課：市場機能</w:t>
            </w:r>
          </w:p>
        </w:tc>
        <w:tc>
          <w:tcPr>
            <w:tcW w:w="4176" w:type="dxa"/>
            <w:gridSpan w:val="5"/>
            <w:vMerge w:val="restart"/>
            <w:vAlign w:val="center"/>
          </w:tcPr>
          <w:p w14:paraId="7467F783" w14:textId="77777777" w:rsidR="001F460D" w:rsidRDefault="001F460D" w:rsidP="001F460D">
            <w:pPr>
              <w:pStyle w:val="a8"/>
              <w:numPr>
                <w:ilvl w:val="0"/>
                <w:numId w:val="4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經濟福利分析：學習操作供需圖表，找出消費者剩餘與生產者剩餘，理解為何市場均衡時社會總福利最大化 。</w:t>
            </w:r>
          </w:p>
          <w:p w14:paraId="238BFB9A" w14:textId="04420935" w:rsidR="001F460D" w:rsidRPr="001F460D" w:rsidRDefault="001F460D" w:rsidP="001F460D">
            <w:pPr>
              <w:pStyle w:val="a8"/>
              <w:numPr>
                <w:ilvl w:val="0"/>
                <w:numId w:val="4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價格機能的運作：探討市場如何透過價格波動自動消化「過剩」或「短</w:t>
            </w:r>
            <w:r w:rsidRPr="001F460D">
              <w:rPr>
                <w:rFonts w:ascii="標楷體" w:eastAsia="標楷體" w:hAnsi="標楷體" w:hint="eastAsia"/>
                <w:szCs w:val="36"/>
              </w:rPr>
              <w:lastRenderedPageBreak/>
              <w:t>缺」，達成最有效率的資源配置 。</w:t>
            </w:r>
          </w:p>
        </w:tc>
      </w:tr>
      <w:tr w:rsidR="001F460D" w14:paraId="1B548117" w14:textId="77777777" w:rsidTr="001F460D">
        <w:tc>
          <w:tcPr>
            <w:tcW w:w="846" w:type="dxa"/>
            <w:vAlign w:val="center"/>
          </w:tcPr>
          <w:p w14:paraId="4D367AE6" w14:textId="3AF927B1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654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072D626" w:rsidR="001F460D" w:rsidRPr="0017712F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016" w:type="dxa"/>
            <w:gridSpan w:val="6"/>
            <w:vAlign w:val="center"/>
          </w:tcPr>
          <w:p w14:paraId="5D3321FE" w14:textId="16050127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第三課：市場機能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0DAC0550" w14:textId="77777777" w:rsidR="001F460D" w:rsidRDefault="001F460D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1F460D" w14:paraId="1D256811" w14:textId="77777777" w:rsidTr="001F460D">
        <w:tc>
          <w:tcPr>
            <w:tcW w:w="846" w:type="dxa"/>
            <w:vAlign w:val="center"/>
          </w:tcPr>
          <w:p w14:paraId="13E91D95" w14:textId="5F8D7D31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654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F0D378D" w:rsidR="001F460D" w:rsidRPr="00542D5D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016" w:type="dxa"/>
            <w:gridSpan w:val="6"/>
            <w:vAlign w:val="center"/>
          </w:tcPr>
          <w:p w14:paraId="0CFBB215" w14:textId="5909E1C0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第三課：市場機能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2EEB8A4D" w14:textId="77777777" w:rsidR="001F460D" w:rsidRDefault="001F460D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1F460D" w14:paraId="6427D4B5" w14:textId="77777777" w:rsidTr="001F460D">
        <w:tc>
          <w:tcPr>
            <w:tcW w:w="846" w:type="dxa"/>
            <w:vAlign w:val="center"/>
          </w:tcPr>
          <w:p w14:paraId="3F162194" w14:textId="32D1B7D5" w:rsidR="001F460D" w:rsidRDefault="001F460D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5C49BF42" w:rsidR="001F460D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1F460D" w:rsidRPr="00473704" w:rsidRDefault="001F460D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016" w:type="dxa"/>
            <w:gridSpan w:val="6"/>
            <w:vAlign w:val="center"/>
          </w:tcPr>
          <w:p w14:paraId="258AF82B" w14:textId="5BBE65CF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第四課：政府管制與外部效果</w:t>
            </w:r>
          </w:p>
        </w:tc>
        <w:tc>
          <w:tcPr>
            <w:tcW w:w="4176" w:type="dxa"/>
            <w:gridSpan w:val="5"/>
            <w:vMerge w:val="restart"/>
            <w:vAlign w:val="center"/>
          </w:tcPr>
          <w:p w14:paraId="219B64B3" w14:textId="77777777" w:rsidR="001F460D" w:rsidRDefault="001F460D" w:rsidP="001F460D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外部性與社會福利：分析外部性（如汙染、教育）如何造成產量過多或不足，並繪製社會邊際成本/效益曲線 。</w:t>
            </w:r>
          </w:p>
          <w:p w14:paraId="5F5F4004" w14:textId="71C159B5" w:rsidR="001F460D" w:rsidRPr="001F460D" w:rsidRDefault="001F460D" w:rsidP="001F460D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政府干預工具：評估價格上限（如房租管制）、價格下限（如基本工資）以及課</w:t>
            </w:r>
            <w:proofErr w:type="gramStart"/>
            <w:r w:rsidRPr="001F460D">
              <w:rPr>
                <w:rFonts w:ascii="標楷體" w:eastAsia="標楷體" w:hAnsi="標楷體" w:hint="eastAsia"/>
                <w:szCs w:val="36"/>
              </w:rPr>
              <w:t>徵皮古稅</w:t>
            </w:r>
            <w:proofErr w:type="gramEnd"/>
            <w:r w:rsidRPr="001F460D">
              <w:rPr>
                <w:rFonts w:ascii="標楷體" w:eastAsia="標楷體" w:hAnsi="標楷體" w:hint="eastAsia"/>
                <w:szCs w:val="36"/>
              </w:rPr>
              <w:t>（如碳稅）對市場效率與公平的影響 。</w:t>
            </w:r>
          </w:p>
        </w:tc>
      </w:tr>
      <w:tr w:rsidR="001F460D" w14:paraId="47EA95B6" w14:textId="77777777" w:rsidTr="001F460D">
        <w:tc>
          <w:tcPr>
            <w:tcW w:w="846" w:type="dxa"/>
            <w:vAlign w:val="center"/>
          </w:tcPr>
          <w:p w14:paraId="67181C3D" w14:textId="09600078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654" w:type="dxa"/>
            <w:gridSpan w:val="2"/>
            <w:vAlign w:val="center"/>
          </w:tcPr>
          <w:p w14:paraId="74D5CFAF" w14:textId="0279D86D" w:rsidR="001F460D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1F460D" w:rsidRPr="00E77D6A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016" w:type="dxa"/>
            <w:gridSpan w:val="6"/>
            <w:vAlign w:val="center"/>
          </w:tcPr>
          <w:p w14:paraId="58CB0E7F" w14:textId="679927EC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第四課：政府管制與外部效果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00F81281" w14:textId="77777777" w:rsidR="001F460D" w:rsidRDefault="001F460D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342B43" w14:paraId="75B5055C" w14:textId="77777777" w:rsidTr="001F460D">
        <w:tc>
          <w:tcPr>
            <w:tcW w:w="846" w:type="dxa"/>
            <w:vAlign w:val="center"/>
          </w:tcPr>
          <w:p w14:paraId="0D7E3F76" w14:textId="08B05545" w:rsidR="00342B43" w:rsidRDefault="00342B43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654" w:type="dxa"/>
            <w:gridSpan w:val="2"/>
            <w:vAlign w:val="center"/>
          </w:tcPr>
          <w:p w14:paraId="1AEC5A98" w14:textId="554EABF5" w:rsidR="00342B43" w:rsidRDefault="00342B43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342B43" w:rsidRPr="00473704" w:rsidRDefault="00342B43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7192" w:type="dxa"/>
            <w:gridSpan w:val="11"/>
            <w:vAlign w:val="center"/>
          </w:tcPr>
          <w:p w14:paraId="6871ED99" w14:textId="1A391A7C" w:rsidR="00342B43" w:rsidRDefault="00342B43" w:rsidP="001F46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第二次段考</w:t>
            </w:r>
          </w:p>
        </w:tc>
      </w:tr>
      <w:tr w:rsidR="001F460D" w14:paraId="10423212" w14:textId="77777777" w:rsidTr="001F460D">
        <w:tc>
          <w:tcPr>
            <w:tcW w:w="846" w:type="dxa"/>
            <w:vAlign w:val="center"/>
          </w:tcPr>
          <w:p w14:paraId="3C9B8126" w14:textId="38DE41AD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654" w:type="dxa"/>
            <w:gridSpan w:val="2"/>
            <w:vAlign w:val="center"/>
          </w:tcPr>
          <w:p w14:paraId="34B669D8" w14:textId="1BB46AB9" w:rsidR="001F460D" w:rsidRPr="0017712F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016" w:type="dxa"/>
            <w:gridSpan w:val="6"/>
            <w:vAlign w:val="center"/>
          </w:tcPr>
          <w:p w14:paraId="5507518B" w14:textId="258218AE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第五課：國民所得與永續</w:t>
            </w:r>
          </w:p>
        </w:tc>
        <w:tc>
          <w:tcPr>
            <w:tcW w:w="4176" w:type="dxa"/>
            <w:gridSpan w:val="5"/>
            <w:vMerge w:val="restart"/>
            <w:vAlign w:val="center"/>
          </w:tcPr>
          <w:p w14:paraId="7604AF16" w14:textId="77777777" w:rsidR="001F460D" w:rsidRDefault="001F460D" w:rsidP="001F460D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GDP 的計算與限制：掌握三面等價原則，並深入思辨 GDP 為何無法衡量家務勞動、休閒價值及環境破壞 。</w:t>
            </w:r>
          </w:p>
          <w:p w14:paraId="14D025AE" w14:textId="1C01396C" w:rsidR="001F460D" w:rsidRPr="001F460D" w:rsidRDefault="001F460D" w:rsidP="001F460D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永續發展指標：探討綠色 GDP 或幸福指數，思考如何在國民所得成長與環境永續之間尋求平衡 。</w:t>
            </w:r>
          </w:p>
        </w:tc>
      </w:tr>
      <w:tr w:rsidR="001F460D" w14:paraId="5F3928F5" w14:textId="77777777" w:rsidTr="001F460D">
        <w:tc>
          <w:tcPr>
            <w:tcW w:w="846" w:type="dxa"/>
            <w:vAlign w:val="center"/>
          </w:tcPr>
          <w:p w14:paraId="5687964F" w14:textId="081AF9E2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654" w:type="dxa"/>
            <w:gridSpan w:val="2"/>
            <w:vAlign w:val="center"/>
          </w:tcPr>
          <w:p w14:paraId="2A9E3043" w14:textId="7BF61951" w:rsidR="001F460D" w:rsidRPr="00E77D6A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016" w:type="dxa"/>
            <w:gridSpan w:val="6"/>
            <w:vAlign w:val="center"/>
          </w:tcPr>
          <w:p w14:paraId="11AE52D5" w14:textId="1D38240F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第五課：國民所得與永續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67AC7CB5" w14:textId="77777777" w:rsidR="001F460D" w:rsidRDefault="001F460D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1F460D" w14:paraId="471D1E90" w14:textId="77777777" w:rsidTr="001F460D">
        <w:tc>
          <w:tcPr>
            <w:tcW w:w="846" w:type="dxa"/>
            <w:vAlign w:val="center"/>
          </w:tcPr>
          <w:p w14:paraId="2EE52CDA" w14:textId="1CB04647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654" w:type="dxa"/>
            <w:gridSpan w:val="2"/>
            <w:vAlign w:val="center"/>
          </w:tcPr>
          <w:p w14:paraId="51B56A04" w14:textId="3CAD166D" w:rsidR="001F460D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1F460D" w:rsidRPr="00473704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016" w:type="dxa"/>
            <w:gridSpan w:val="6"/>
            <w:vAlign w:val="center"/>
          </w:tcPr>
          <w:p w14:paraId="0FA4F747" w14:textId="72DC6464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第六課：國際貿易</w:t>
            </w:r>
          </w:p>
        </w:tc>
        <w:tc>
          <w:tcPr>
            <w:tcW w:w="4176" w:type="dxa"/>
            <w:gridSpan w:val="5"/>
            <w:vMerge w:val="restart"/>
            <w:vAlign w:val="center"/>
          </w:tcPr>
          <w:p w14:paraId="6CBCA330" w14:textId="77777777" w:rsidR="001F460D" w:rsidRDefault="001F460D" w:rsidP="001F460D">
            <w:pPr>
              <w:pStyle w:val="a8"/>
              <w:numPr>
                <w:ilvl w:val="0"/>
                <w:numId w:val="7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比較利益模型：運用具體數據計算各國的生產優勢，證明國際分工如何讓貿易雙方皆能擴張消費可能範圍 。</w:t>
            </w:r>
          </w:p>
          <w:p w14:paraId="46AF1DF5" w14:textId="5A7C4700" w:rsidR="001F460D" w:rsidRPr="001F460D" w:rsidRDefault="001F460D" w:rsidP="001F460D">
            <w:pPr>
              <w:pStyle w:val="a8"/>
              <w:numPr>
                <w:ilvl w:val="0"/>
                <w:numId w:val="7"/>
              </w:numPr>
              <w:spacing w:line="360" w:lineRule="auto"/>
              <w:ind w:leftChars="0"/>
              <w:jc w:val="both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貿易政策的辯論：分析關稅與配額對國內生產者與消費者的損益，並從「幼稚產業保護」與「糧食安全」等角度思辨貿易管制的必要性 。</w:t>
            </w:r>
          </w:p>
        </w:tc>
      </w:tr>
      <w:tr w:rsidR="001F460D" w14:paraId="4C41F914" w14:textId="77777777" w:rsidTr="001F460D">
        <w:tc>
          <w:tcPr>
            <w:tcW w:w="846" w:type="dxa"/>
            <w:vAlign w:val="center"/>
          </w:tcPr>
          <w:p w14:paraId="432A5CFE" w14:textId="43989579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654" w:type="dxa"/>
            <w:gridSpan w:val="2"/>
            <w:vAlign w:val="center"/>
          </w:tcPr>
          <w:p w14:paraId="4B3E5E94" w14:textId="1868EFB3" w:rsidR="001F460D" w:rsidRPr="00E77D6A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016" w:type="dxa"/>
            <w:gridSpan w:val="6"/>
            <w:vAlign w:val="center"/>
          </w:tcPr>
          <w:p w14:paraId="32BF3998" w14:textId="77467C1E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42B43">
              <w:rPr>
                <w:rFonts w:ascii="標楷體" w:eastAsia="標楷體" w:hAnsi="標楷體" w:hint="eastAsia"/>
                <w:szCs w:val="36"/>
              </w:rPr>
              <w:t>第六課：國際貿易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6D115049" w14:textId="77777777" w:rsidR="001F460D" w:rsidRDefault="001F460D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1F460D" w14:paraId="139EAB30" w14:textId="77777777" w:rsidTr="001F460D">
        <w:tc>
          <w:tcPr>
            <w:tcW w:w="846" w:type="dxa"/>
            <w:vAlign w:val="center"/>
          </w:tcPr>
          <w:p w14:paraId="19FD5826" w14:textId="703B7875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654" w:type="dxa"/>
            <w:gridSpan w:val="2"/>
            <w:vAlign w:val="center"/>
          </w:tcPr>
          <w:p w14:paraId="09B60894" w14:textId="79AA2FB0" w:rsidR="001F460D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1F460D" w:rsidRPr="00BB6CA1" w:rsidRDefault="001F460D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016" w:type="dxa"/>
            <w:gridSpan w:val="6"/>
            <w:vAlign w:val="center"/>
          </w:tcPr>
          <w:p w14:paraId="46613C6C" w14:textId="5831E557" w:rsidR="001F460D" w:rsidRDefault="001F460D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F460D">
              <w:rPr>
                <w:rFonts w:ascii="標楷體" w:eastAsia="標楷體" w:hAnsi="標楷體" w:hint="eastAsia"/>
                <w:szCs w:val="36"/>
              </w:rPr>
              <w:t>第六課：國際貿易</w:t>
            </w:r>
          </w:p>
        </w:tc>
        <w:tc>
          <w:tcPr>
            <w:tcW w:w="4176" w:type="dxa"/>
            <w:gridSpan w:val="5"/>
            <w:vMerge/>
            <w:vAlign w:val="center"/>
          </w:tcPr>
          <w:p w14:paraId="1B57D54D" w14:textId="77777777" w:rsidR="001F460D" w:rsidRDefault="001F460D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342B43" w14:paraId="16C971B7" w14:textId="77777777" w:rsidTr="001F460D">
        <w:tc>
          <w:tcPr>
            <w:tcW w:w="846" w:type="dxa"/>
            <w:vAlign w:val="center"/>
          </w:tcPr>
          <w:p w14:paraId="17DDE0D6" w14:textId="4FF97266" w:rsidR="00342B43" w:rsidRDefault="00342B43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654" w:type="dxa"/>
            <w:gridSpan w:val="2"/>
            <w:vAlign w:val="center"/>
          </w:tcPr>
          <w:p w14:paraId="2FA683C1" w14:textId="46E89F1C" w:rsidR="00342B43" w:rsidRDefault="00342B43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342B43" w:rsidRDefault="00342B43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</w:t>
            </w:r>
            <w:r>
              <w:rPr>
                <w:rFonts w:hint="eastAsia"/>
                <w:sz w:val="13"/>
                <w:szCs w:val="13"/>
              </w:rPr>
              <w:lastRenderedPageBreak/>
              <w:t>式）</w:t>
            </w:r>
          </w:p>
        </w:tc>
        <w:tc>
          <w:tcPr>
            <w:tcW w:w="7192" w:type="dxa"/>
            <w:gridSpan w:val="11"/>
            <w:vAlign w:val="center"/>
          </w:tcPr>
          <w:p w14:paraId="661D8D7A" w14:textId="1C54A1D0" w:rsidR="00342B43" w:rsidRDefault="00342B43" w:rsidP="001F46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期末考</w:t>
            </w:r>
          </w:p>
        </w:tc>
      </w:tr>
      <w:tr w:rsidR="00342B43" w14:paraId="5C927227" w14:textId="77777777" w:rsidTr="001F460D">
        <w:tc>
          <w:tcPr>
            <w:tcW w:w="846" w:type="dxa"/>
            <w:vAlign w:val="center"/>
          </w:tcPr>
          <w:p w14:paraId="4E6992AF" w14:textId="6876D5A3" w:rsidR="00342B43" w:rsidRDefault="00342B43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654" w:type="dxa"/>
            <w:gridSpan w:val="2"/>
            <w:vAlign w:val="center"/>
          </w:tcPr>
          <w:p w14:paraId="368DB8CD" w14:textId="32C437D2" w:rsidR="00342B43" w:rsidRDefault="00342B43" w:rsidP="00342B4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342B43" w:rsidRPr="00E77D6A" w:rsidRDefault="00342B43" w:rsidP="00342B4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016" w:type="dxa"/>
            <w:gridSpan w:val="6"/>
            <w:vAlign w:val="center"/>
          </w:tcPr>
          <w:p w14:paraId="36C5468C" w14:textId="77777777" w:rsidR="00342B43" w:rsidRPr="00F37AF6" w:rsidRDefault="00342B43" w:rsidP="00342B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176" w:type="dxa"/>
            <w:gridSpan w:val="5"/>
            <w:vAlign w:val="center"/>
          </w:tcPr>
          <w:p w14:paraId="493049F7" w14:textId="77777777" w:rsidR="00342B43" w:rsidRDefault="00342B43" w:rsidP="001F460D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43376" w14:textId="77777777" w:rsidR="007B243C" w:rsidRDefault="007B243C" w:rsidP="001B5427">
      <w:r>
        <w:separator/>
      </w:r>
    </w:p>
  </w:endnote>
  <w:endnote w:type="continuationSeparator" w:id="0">
    <w:p w14:paraId="54F49C68" w14:textId="77777777" w:rsidR="007B243C" w:rsidRDefault="007B243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78E75" w14:textId="77777777" w:rsidR="007B243C" w:rsidRDefault="007B243C" w:rsidP="001B5427">
      <w:r>
        <w:separator/>
      </w:r>
    </w:p>
  </w:footnote>
  <w:footnote w:type="continuationSeparator" w:id="0">
    <w:p w14:paraId="0696EE20" w14:textId="77777777" w:rsidR="007B243C" w:rsidRDefault="007B243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3AF"/>
    <w:multiLevelType w:val="hybridMultilevel"/>
    <w:tmpl w:val="DE4A5214"/>
    <w:lvl w:ilvl="0" w:tplc="AFD05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5CC46B6"/>
    <w:multiLevelType w:val="hybridMultilevel"/>
    <w:tmpl w:val="70C22F28"/>
    <w:lvl w:ilvl="0" w:tplc="83DABB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D4C6BE0"/>
    <w:multiLevelType w:val="hybridMultilevel"/>
    <w:tmpl w:val="5B9002F2"/>
    <w:lvl w:ilvl="0" w:tplc="AFD05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A457170"/>
    <w:multiLevelType w:val="hybridMultilevel"/>
    <w:tmpl w:val="29142846"/>
    <w:lvl w:ilvl="0" w:tplc="AFD05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5D814AA"/>
    <w:multiLevelType w:val="hybridMultilevel"/>
    <w:tmpl w:val="E140E866"/>
    <w:lvl w:ilvl="0" w:tplc="AFD05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76F6A24"/>
    <w:multiLevelType w:val="hybridMultilevel"/>
    <w:tmpl w:val="98F8DE28"/>
    <w:lvl w:ilvl="0" w:tplc="F780854E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6" w15:restartNumberingAfterBreak="0">
    <w:nsid w:val="6AED5029"/>
    <w:multiLevelType w:val="hybridMultilevel"/>
    <w:tmpl w:val="CB448760"/>
    <w:lvl w:ilvl="0" w:tplc="AFD05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955136816">
    <w:abstractNumId w:val="5"/>
  </w:num>
  <w:num w:numId="2" w16cid:durableId="663317915">
    <w:abstractNumId w:val="1"/>
  </w:num>
  <w:num w:numId="3" w16cid:durableId="1352534764">
    <w:abstractNumId w:val="6"/>
  </w:num>
  <w:num w:numId="4" w16cid:durableId="104885680">
    <w:abstractNumId w:val="4"/>
  </w:num>
  <w:num w:numId="5" w16cid:durableId="47188683">
    <w:abstractNumId w:val="2"/>
  </w:num>
  <w:num w:numId="6" w16cid:durableId="2021002476">
    <w:abstractNumId w:val="0"/>
  </w:num>
  <w:num w:numId="7" w16cid:durableId="9610345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640B"/>
    <w:rsid w:val="000A4936"/>
    <w:rsid w:val="00127AC1"/>
    <w:rsid w:val="0016628F"/>
    <w:rsid w:val="001671C7"/>
    <w:rsid w:val="001B5427"/>
    <w:rsid w:val="001F460D"/>
    <w:rsid w:val="00205CB2"/>
    <w:rsid w:val="00223FE0"/>
    <w:rsid w:val="00227FFD"/>
    <w:rsid w:val="00246A43"/>
    <w:rsid w:val="00291383"/>
    <w:rsid w:val="00302CC5"/>
    <w:rsid w:val="00342B43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6D70AD"/>
    <w:rsid w:val="00792A79"/>
    <w:rsid w:val="007B243C"/>
    <w:rsid w:val="007D0757"/>
    <w:rsid w:val="007F014B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C2FE5"/>
    <w:rsid w:val="00B01716"/>
    <w:rsid w:val="00BB6CA1"/>
    <w:rsid w:val="00C17229"/>
    <w:rsid w:val="00C51D4F"/>
    <w:rsid w:val="00D85454"/>
    <w:rsid w:val="00D90FA2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7F014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6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1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2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0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0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4981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21274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344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李祖儀</cp:lastModifiedBy>
  <cp:revision>2</cp:revision>
  <cp:lastPrinted>2021-08-27T02:43:00Z</cp:lastPrinted>
  <dcterms:created xsi:type="dcterms:W3CDTF">2026-02-11T07:32:00Z</dcterms:created>
  <dcterms:modified xsi:type="dcterms:W3CDTF">2026-02-11T07:32:00Z</dcterms:modified>
</cp:coreProperties>
</file>