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distribute"/>
        <w:rPr>
          <w:rFonts w:ascii="標楷體-繁" w:hAnsi="標楷體-繁" w:eastAsia="標楷體-繁"/>
        </w:rPr>
      </w:pPr>
      <w:r>
        <w:rPr>
          <w:rFonts w:ascii="標楷體-繁" w:hAnsi="標楷體-繁" w:eastAsia="標楷體-繁"/>
          <w:sz w:val="36"/>
          <w:szCs w:val="36"/>
        </w:rPr>
        <w:t>臺北市立復興高級中學</w:t>
      </w:r>
      <w:r>
        <w:rPr>
          <w:rFonts w:eastAsia="標楷體-繁" w:ascii="標楷體-繁" w:hAnsi="標楷體-繁"/>
          <w:sz w:val="36"/>
          <w:szCs w:val="36"/>
        </w:rPr>
        <w:t>114</w:t>
      </w:r>
      <w:r>
        <w:rPr>
          <w:rFonts w:ascii="標楷體-繁" w:hAnsi="標楷體-繁" w:eastAsia="標楷體-繁"/>
          <w:sz w:val="36"/>
          <w:szCs w:val="36"/>
        </w:rPr>
        <w:t>學年度</w:t>
      </w:r>
      <w:r>
        <w:rPr>
          <w:rFonts w:eastAsia="標楷體-繁" w:ascii="標楷體-繁" w:hAnsi="標楷體-繁"/>
          <w:sz w:val="36"/>
          <w:szCs w:val="36"/>
        </w:rPr>
        <w:t>2</w:t>
      </w:r>
      <w:r>
        <w:rPr>
          <w:rFonts w:ascii="標楷體-繁" w:hAnsi="標楷體-繁" w:eastAsia="標楷體-繁"/>
          <w:sz w:val="36"/>
          <w:szCs w:val="36"/>
        </w:rPr>
        <w:t>學期教學進度表</w:t>
      </w:r>
    </w:p>
    <w:tbl>
      <w:tblPr>
        <w:tblStyle w:val="a3"/>
        <w:tblW w:w="1069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44"/>
        <w:gridCol w:w="851"/>
        <w:gridCol w:w="1277"/>
        <w:gridCol w:w="991"/>
        <w:gridCol w:w="294"/>
        <w:gridCol w:w="557"/>
        <w:gridCol w:w="730"/>
        <w:gridCol w:w="831"/>
        <w:gridCol w:w="459"/>
        <w:gridCol w:w="605"/>
        <w:gridCol w:w="355"/>
        <w:gridCol w:w="326"/>
        <w:gridCol w:w="1286"/>
        <w:gridCol w:w="1284"/>
      </w:tblGrid>
      <w:tr>
        <w:trPr/>
        <w:tc>
          <w:tcPr>
            <w:tcW w:w="1695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學科</w:t>
            </w: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/</w:t>
            </w: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科目</w:t>
            </w:r>
          </w:p>
        </w:tc>
        <w:tc>
          <w:tcPr>
            <w:tcW w:w="2268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現代舞</w:t>
            </w:r>
          </w:p>
        </w:tc>
        <w:tc>
          <w:tcPr>
            <w:tcW w:w="851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任課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教師</w:t>
            </w:r>
          </w:p>
        </w:tc>
        <w:tc>
          <w:tcPr>
            <w:tcW w:w="1561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燕樹豪</w:t>
            </w:r>
          </w:p>
        </w:tc>
        <w:tc>
          <w:tcPr>
            <w:tcW w:w="1419" w:type="dxa"/>
            <w:gridSpan w:val="3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適用版本、教材</w:t>
            </w:r>
          </w:p>
        </w:tc>
        <w:tc>
          <w:tcPr>
            <w:tcW w:w="2896" w:type="dxa"/>
            <w:gridSpan w:val="3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教師自編</w:t>
            </w:r>
          </w:p>
        </w:tc>
      </w:tr>
      <w:tr>
        <w:trPr>
          <w:trHeight w:val="540" w:hRule="atLeast"/>
        </w:trPr>
        <w:tc>
          <w:tcPr>
            <w:tcW w:w="1695" w:type="dxa"/>
            <w:gridSpan w:val="2"/>
            <w:vMerge w:val="restart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線上教學平臺</w:t>
            </w: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br/>
              <w:t>Google Classroom</w:t>
            </w:r>
          </w:p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7F7F7F" w:themeColor="text1" w:themeTint="80"/>
                <w:kern w:val="2"/>
                <w:sz w:val="24"/>
                <w:szCs w:val="36"/>
                <w:lang w:val="en-US" w:eastAsia="zh-TW" w:bidi="ar-SA"/>
              </w:rPr>
              <w:t>(</w:t>
            </w:r>
            <w:r>
              <w:rPr>
                <w:rFonts w:ascii="標楷體-繁" w:hAnsi="標楷體-繁" w:eastAsia="標楷體-繁"/>
                <w:color w:val="7F7F7F" w:themeColor="text1" w:themeTint="80"/>
                <w:kern w:val="2"/>
                <w:sz w:val="24"/>
                <w:szCs w:val="36"/>
                <w:lang w:val="en-US" w:eastAsia="zh-TW" w:bidi="ar-SA"/>
              </w:rPr>
              <w:t>如有需要，自行填寫</w:t>
            </w:r>
            <w:r>
              <w:rPr>
                <w:rFonts w:eastAsia="標楷體-繁" w:ascii="標楷體-繁" w:hAnsi="標楷體-繁"/>
                <w:color w:val="7F7F7F" w:themeColor="text1" w:themeTint="80"/>
                <w:kern w:val="2"/>
                <w:sz w:val="24"/>
                <w:szCs w:val="36"/>
                <w:lang w:val="en-US" w:eastAsia="zh-TW" w:bidi="ar-SA"/>
              </w:rPr>
              <w:t>)</w:t>
            </w:r>
          </w:p>
        </w:tc>
        <w:tc>
          <w:tcPr>
            <w:tcW w:w="1277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distribute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任課班級</w:t>
            </w:r>
          </w:p>
        </w:tc>
        <w:tc>
          <w:tcPr>
            <w:tcW w:w="1285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320</w:t>
            </w:r>
          </w:p>
        </w:tc>
        <w:tc>
          <w:tcPr>
            <w:tcW w:w="1287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90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6" w:type="dxa"/>
            <w:gridSpan w:val="3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6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4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</w:tr>
      <w:tr>
        <w:trPr>
          <w:trHeight w:val="540" w:hRule="atLeast"/>
        </w:trPr>
        <w:tc>
          <w:tcPr>
            <w:tcW w:w="1695" w:type="dxa"/>
            <w:gridSpan w:val="2"/>
            <w:vMerge w:val="continue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77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代碼</w:t>
            </w:r>
          </w:p>
        </w:tc>
        <w:tc>
          <w:tcPr>
            <w:tcW w:w="1285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7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90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6" w:type="dxa"/>
            <w:gridSpan w:val="3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6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4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</w:tr>
      <w:tr>
        <w:trPr>
          <w:trHeight w:val="540" w:hRule="atLeast"/>
        </w:trPr>
        <w:tc>
          <w:tcPr>
            <w:tcW w:w="1695" w:type="dxa"/>
            <w:gridSpan w:val="2"/>
            <w:vMerge w:val="continue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77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distribute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任課班級</w:t>
            </w:r>
          </w:p>
        </w:tc>
        <w:tc>
          <w:tcPr>
            <w:tcW w:w="1285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7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90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6" w:type="dxa"/>
            <w:gridSpan w:val="3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6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4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</w:tr>
      <w:tr>
        <w:trPr>
          <w:trHeight w:val="540" w:hRule="atLeast"/>
        </w:trPr>
        <w:tc>
          <w:tcPr>
            <w:tcW w:w="1695" w:type="dxa"/>
            <w:gridSpan w:val="2"/>
            <w:vMerge w:val="continue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77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代碼</w:t>
            </w:r>
          </w:p>
        </w:tc>
        <w:tc>
          <w:tcPr>
            <w:tcW w:w="1285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7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90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6" w:type="dxa"/>
            <w:gridSpan w:val="3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6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4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</w:tr>
      <w:tr>
        <w:trPr/>
        <w:tc>
          <w:tcPr>
            <w:tcW w:w="1695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24"/>
                <w:lang w:val="en-US" w:eastAsia="zh-TW" w:bidi="ar-SA"/>
              </w:rPr>
              <w:t>教學目標</w:t>
            </w:r>
          </w:p>
        </w:tc>
        <w:tc>
          <w:tcPr>
            <w:tcW w:w="8995" w:type="dxa"/>
            <w:gridSpan w:val="12"/>
            <w:tcBorders/>
            <w:vAlign w:val="center"/>
          </w:tcPr>
          <w:p>
            <w:pPr>
              <w:pStyle w:val="Normal"/>
              <w:bidi w:val="0"/>
              <w:jc w:val="left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cs="標楷體" w:ascii="標楷體-繁" w:hAnsi="標楷體-繁"/>
                <w:sz w:val="24"/>
                <w:szCs w:val="24"/>
              </w:rPr>
              <w:t>1</w:t>
            </w:r>
            <w:r>
              <w:rPr>
                <w:rFonts w:ascii="標楷體-繁" w:hAnsi="標楷體-繁" w:cs="標楷體" w:eastAsia="標楷體-繁"/>
                <w:sz w:val="24"/>
                <w:szCs w:val="24"/>
              </w:rPr>
              <w:t>）強化學生肢體線條延展能力。</w:t>
            </w:r>
          </w:p>
          <w:p>
            <w:pPr>
              <w:pStyle w:val="Normal"/>
              <w:bidi w:val="0"/>
              <w:jc w:val="left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cs="標楷體" w:ascii="標楷體-繁" w:hAnsi="標楷體-繁"/>
                <w:sz w:val="24"/>
                <w:szCs w:val="24"/>
              </w:rPr>
              <w:t>2</w:t>
            </w:r>
            <w:r>
              <w:rPr>
                <w:rFonts w:ascii="標楷體-繁" w:hAnsi="標楷體-繁" w:cs="標楷體" w:eastAsia="標楷體-繁"/>
                <w:sz w:val="24"/>
                <w:szCs w:val="24"/>
              </w:rPr>
              <w:t>）加強學生動作組合之連貫性與流暢性。</w:t>
            </w:r>
          </w:p>
          <w:p>
            <w:pPr>
              <w:pStyle w:val="Normal"/>
              <w:bidi w:val="0"/>
              <w:jc w:val="both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cs="標楷體" w:ascii="標楷體-繁" w:hAnsi="標楷體-繁"/>
                <w:sz w:val="24"/>
                <w:szCs w:val="24"/>
              </w:rPr>
              <w:t>3</w:t>
            </w:r>
            <w:r>
              <w:rPr>
                <w:rFonts w:ascii="標楷體-繁" w:hAnsi="標楷體-繁" w:cs="標楷體" w:eastAsia="標楷體-繁"/>
                <w:sz w:val="24"/>
                <w:szCs w:val="24"/>
              </w:rPr>
              <w:t>）提升學生反應力及組合動作記憶之能力。</w:t>
            </w:r>
          </w:p>
          <w:p>
            <w:pPr>
              <w:pStyle w:val="Normal"/>
              <w:bidi w:val="0"/>
              <w:jc w:val="both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cs="標楷體" w:ascii="標楷體-繁" w:hAnsi="標楷體-繁"/>
                <w:color w:val="000000"/>
                <w:sz w:val="24"/>
                <w:szCs w:val="24"/>
              </w:rPr>
              <w:t>4</w:t>
            </w: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）能投入更多的情境使肢體的速度感由心出發。</w:t>
            </w:r>
          </w:p>
        </w:tc>
      </w:tr>
      <w:tr>
        <w:trPr/>
        <w:tc>
          <w:tcPr>
            <w:tcW w:w="1695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24"/>
                <w:lang w:val="en-US" w:eastAsia="zh-TW" w:bidi="ar-SA"/>
              </w:rPr>
              <w:t>教學方式</w:t>
            </w:r>
          </w:p>
        </w:tc>
        <w:tc>
          <w:tcPr>
            <w:tcW w:w="8995" w:type="dxa"/>
            <w:gridSpan w:val="1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eastAsia="標楷體-繁"/>
                <w:sz w:val="24"/>
                <w:szCs w:val="24"/>
              </w:rPr>
              <w:t>（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1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）引導  （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2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）啟發 （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3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）觀察  （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4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）講述</w:t>
            </w:r>
          </w:p>
          <w:p>
            <w:pPr>
              <w:pStyle w:val="Normal"/>
              <w:widowControl w:val="false"/>
              <w:suppressAutoHyphens w:val="true"/>
              <w:spacing w:lineRule="auto" w:line="240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（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5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）示範  （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6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 xml:space="preserve">）分組   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7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）互動</w:t>
            </w:r>
          </w:p>
        </w:tc>
      </w:tr>
      <w:tr>
        <w:trPr/>
        <w:tc>
          <w:tcPr>
            <w:tcW w:w="1695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24"/>
                <w:lang w:val="en-US" w:eastAsia="zh-TW" w:bidi="ar-SA"/>
              </w:rPr>
              <w:t>成績計算比例</w:t>
            </w:r>
          </w:p>
        </w:tc>
        <w:tc>
          <w:tcPr>
            <w:tcW w:w="8995" w:type="dxa"/>
            <w:gridSpan w:val="1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/>
              <w:jc w:val="both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1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）平時成績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30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 xml:space="preserve">％ </w:t>
            </w:r>
          </w:p>
          <w:p>
            <w:pPr>
              <w:pStyle w:val="Normal"/>
              <w:widowControl w:val="false"/>
              <w:suppressAutoHyphens w:val="true"/>
              <w:spacing w:lineRule="auto" w:line="240"/>
              <w:jc w:val="both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2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）期中成績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30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 xml:space="preserve">％  </w:t>
            </w:r>
          </w:p>
          <w:p>
            <w:pPr>
              <w:pStyle w:val="Normal"/>
              <w:widowControl w:val="false"/>
              <w:suppressAutoHyphens w:val="true"/>
              <w:spacing w:lineRule="auto" w:line="240"/>
              <w:jc w:val="both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3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）期末成績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40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％</w:t>
            </w:r>
          </w:p>
        </w:tc>
      </w:tr>
      <w:tr>
        <w:trPr/>
        <w:tc>
          <w:tcPr>
            <w:tcW w:w="1695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線上學習資源</w:t>
            </w:r>
          </w:p>
        </w:tc>
        <w:tc>
          <w:tcPr>
            <w:tcW w:w="8995" w:type="dxa"/>
            <w:gridSpan w:val="1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</w:tr>
      <w:tr>
        <w:trPr/>
        <w:tc>
          <w:tcPr>
            <w:tcW w:w="84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distribute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週次</w:t>
            </w:r>
          </w:p>
        </w:tc>
        <w:tc>
          <w:tcPr>
            <w:tcW w:w="2128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distribute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日期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distribute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教學進度</w:t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distribute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學生可自學的學習內容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0</w:t>
            </w: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2</w:t>
            </w: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/</w:t>
            </w: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24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bidi w:val="0"/>
              <w:jc w:val="center"/>
              <w:rPr>
                <w:rFonts w:ascii="標楷體-繁" w:hAnsi="標楷體-繁" w:eastAsia="標楷體-繁" w:cs="標楷體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sz w:val="24"/>
                <w:szCs w:val="24"/>
              </w:rPr>
              <w:t>動作與動作間的連貫</w:t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2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0</w:t>
            </w: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3</w:t>
            </w: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/0</w:t>
            </w: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3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bidi w:val="0"/>
              <w:jc w:val="center"/>
              <w:rPr>
                <w:rFonts w:ascii="標楷體-繁" w:hAnsi="標楷體-繁" w:eastAsia="標楷體-繁" w:cs="標楷體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sz w:val="24"/>
                <w:szCs w:val="24"/>
              </w:rPr>
              <w:t>直線與曲線的連貫</w:t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3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3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/1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bidi w:val="0"/>
              <w:jc w:val="center"/>
              <w:rPr>
                <w:rFonts w:ascii="標楷體-繁" w:hAnsi="標楷體-繁" w:eastAsia="標楷體-繁" w:cs="標楷體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sz w:val="24"/>
                <w:szCs w:val="24"/>
              </w:rPr>
              <w:t>關節動作的連貫</w:t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ascii="標楷體-繁" w:hAnsi="標楷體-繁" w:cs="新細明體;PMingLiU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4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0</w:t>
            </w: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3</w:t>
            </w: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/</w:t>
            </w: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17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bidi w:val="0"/>
              <w:jc w:val="center"/>
              <w:rPr>
                <w:rFonts w:ascii="標楷體-繁" w:hAnsi="標楷體-繁" w:eastAsia="標楷體-繁" w:cs="標楷體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sz w:val="24"/>
                <w:szCs w:val="24"/>
              </w:rPr>
              <w:t>圓的動作連貫</w:t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5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3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/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24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cs="標楷體" w:ascii="標楷體-繁" w:hAnsi="標楷體-繁"/>
                <w:sz w:val="24"/>
                <w:szCs w:val="24"/>
              </w:rPr>
              <w:t>/</w:t>
            </w:r>
            <w:r>
              <w:rPr>
                <w:rFonts w:ascii="標楷體-繁" w:hAnsi="標楷體-繁" w:cs="標楷體" w:eastAsia="標楷體-繁"/>
                <w:sz w:val="24"/>
                <w:szCs w:val="24"/>
              </w:rPr>
              <w:t>第一次術科期中考</w:t>
            </w:r>
            <w:r>
              <w:rPr>
                <w:rFonts w:eastAsia="標楷體-繁" w:cs="標楷體" w:ascii="標楷體-繁" w:hAnsi="標楷體-繁"/>
                <w:sz w:val="24"/>
                <w:szCs w:val="24"/>
              </w:rPr>
              <w:t>/</w:t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/>
              <w:jc w:val="center"/>
              <w:rPr>
                <w:rFonts w:ascii="標楷體-繁" w:hAnsi="標楷體-繁" w:eastAsia="標楷體-繁"/>
                <w:sz w:val="28"/>
                <w:szCs w:val="28"/>
              </w:rPr>
            </w:pPr>
            <w:r>
              <w:rPr>
                <w:rFonts w:ascii="標楷體-繁" w:hAnsi="標楷體-繁" w:cs="標楷體" w:eastAsia="標楷體-繁"/>
                <w:kern w:val="2"/>
                <w:sz w:val="28"/>
                <w:szCs w:val="28"/>
                <w:lang w:val="en-US" w:eastAsia="zh-TW" w:bidi="ar-SA"/>
              </w:rPr>
              <w:t>隨課堂組合測驗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6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03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/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31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bidi w:val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sz w:val="24"/>
                <w:szCs w:val="24"/>
              </w:rPr>
              <w:t>動作在空間中的向量</w:t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ascii="標楷體-繁" w:hAnsi="標楷體-繁" w:cs="標楷體" w:eastAsia="標楷體-繁"/>
                <w:kern w:val="2"/>
                <w:sz w:val="28"/>
                <w:szCs w:val="28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7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04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/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01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bidi w:val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sz w:val="24"/>
                <w:szCs w:val="24"/>
              </w:rPr>
              <w:t>運用節奏輔助肢體的協調</w:t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8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04</w:t>
            </w: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/</w:t>
            </w: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07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bidi w:val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跳動作連貫之訓練</w:t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ascii="標楷體-繁" w:hAnsi="標楷體-繁" w:cs="標楷體" w:eastAsia="標楷體-繁"/>
                <w:kern w:val="2"/>
                <w:sz w:val="28"/>
                <w:szCs w:val="28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9</w:t>
            </w:r>
          </w:p>
        </w:tc>
        <w:tc>
          <w:tcPr>
            <w:tcW w:w="2128" w:type="dxa"/>
            <w:gridSpan w:val="2"/>
            <w:tcBorders>
              <w:top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04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/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17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bidi w:val="0"/>
              <w:snapToGrid w:val="false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eastAsia="標楷體-繁"/>
                <w:sz w:val="24"/>
                <w:szCs w:val="24"/>
              </w:rPr>
              <w:t>術科期末考出題（一）</w:t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ascii="標楷體-繁" w:hAnsi="標楷體-繁" w:cs="標楷體" w:eastAsia="標楷體-繁"/>
                <w:kern w:val="2"/>
                <w:sz w:val="28"/>
                <w:szCs w:val="28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10</w:t>
            </w:r>
          </w:p>
        </w:tc>
        <w:tc>
          <w:tcPr>
            <w:tcW w:w="2128" w:type="dxa"/>
            <w:gridSpan w:val="2"/>
            <w:tcBorders>
              <w:top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04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/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21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bidi w:val="0"/>
              <w:snapToGrid w:val="false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術科期末考出題（二）</w:t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ascii="標楷體-繁" w:hAnsi="標楷體-繁" w:cs="標楷體" w:eastAsia="標楷體-繁"/>
                <w:kern w:val="2"/>
                <w:sz w:val="28"/>
                <w:szCs w:val="28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11</w:t>
            </w:r>
          </w:p>
        </w:tc>
        <w:tc>
          <w:tcPr>
            <w:tcW w:w="2128" w:type="dxa"/>
            <w:gridSpan w:val="2"/>
            <w:tcBorders>
              <w:top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04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/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28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/>
              <w:jc w:val="center"/>
              <w:rPr>
                <w:rFonts w:ascii="標楷體-繁" w:hAnsi="標楷體-繁" w:eastAsia="標楷體-繁"/>
                <w:sz w:val="28"/>
                <w:szCs w:val="28"/>
              </w:rPr>
            </w:pPr>
            <w:r>
              <w:rPr>
                <w:rFonts w:eastAsia="標楷體-繁" w:cs="標楷體" w:ascii="標楷體-繁" w:hAnsi="標楷體-繁"/>
                <w:color w:val="000000"/>
                <w:sz w:val="28"/>
                <w:szCs w:val="28"/>
              </w:rPr>
              <w:t>/</w:t>
            </w:r>
            <w:r>
              <w:rPr>
                <w:rFonts w:ascii="標楷體-繁" w:hAnsi="標楷體-繁" w:cs="標楷體" w:eastAsia="標楷體-繁"/>
                <w:color w:val="000000"/>
                <w:sz w:val="28"/>
                <w:szCs w:val="28"/>
              </w:rPr>
              <w:t>高三術科期末考</w:t>
            </w:r>
            <w:r>
              <w:rPr>
                <w:rFonts w:eastAsia="標楷體-繁" w:cs="標楷體" w:ascii="標楷體-繁" w:hAnsi="標楷體-繁"/>
                <w:color w:val="000000"/>
                <w:sz w:val="28"/>
                <w:szCs w:val="28"/>
              </w:rPr>
              <w:t>/</w:t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ascii="標楷體-繁" w:hAnsi="標楷體-繁" w:cs="標楷體" w:eastAsia="標楷體-繁"/>
                <w:kern w:val="2"/>
                <w:sz w:val="28"/>
                <w:szCs w:val="28"/>
                <w:lang w:val="en-US" w:eastAsia="zh-TW" w:bidi="ar-SA"/>
              </w:rPr>
              <w:t>繳交期末報告</w:t>
            </w:r>
            <w:r>
              <w:rPr>
                <w:rFonts w:eastAsia="標楷體-繁" w:cs="標楷體" w:ascii="標楷體-繁" w:hAnsi="標楷體-繁"/>
                <w:kern w:val="2"/>
                <w:sz w:val="28"/>
                <w:szCs w:val="28"/>
                <w:lang w:val="en-US" w:eastAsia="zh-TW" w:bidi="ar-SA"/>
              </w:rPr>
              <w:t>2</w:t>
            </w:r>
            <w:r>
              <w:rPr>
                <w:rFonts w:ascii="標楷體-繁" w:hAnsi="標楷體-繁" w:cs="標楷體" w:eastAsia="標楷體-繁"/>
                <w:kern w:val="2"/>
                <w:sz w:val="28"/>
                <w:szCs w:val="28"/>
                <w:lang w:val="en-US" w:eastAsia="zh-TW" w:bidi="ar-SA"/>
              </w:rPr>
              <w:t>篇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12</w:t>
            </w:r>
          </w:p>
        </w:tc>
        <w:tc>
          <w:tcPr>
            <w:tcW w:w="2128" w:type="dxa"/>
            <w:gridSpan w:val="2"/>
            <w:tcBorders>
              <w:top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05</w:t>
            </w: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/</w:t>
            </w: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05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/>
              <w:jc w:val="center"/>
              <w:rPr>
                <w:rFonts w:ascii="標楷體-繁" w:hAnsi="標楷體-繁" w:eastAsia="標楷體-繁"/>
                <w:sz w:val="28"/>
                <w:szCs w:val="28"/>
              </w:rPr>
            </w:pPr>
            <w:r>
              <w:rPr>
                <w:rFonts w:eastAsia="標楷體-繁" w:cs="標楷體" w:ascii="標楷體-繁" w:hAnsi="標楷體-繁"/>
                <w:color w:val="000000"/>
                <w:sz w:val="28"/>
                <w:szCs w:val="28"/>
              </w:rPr>
              <w:t>/</w:t>
            </w:r>
            <w:r>
              <w:rPr>
                <w:rFonts w:ascii="標楷體-繁" w:hAnsi="標楷體-繁" w:cs="標楷體" w:eastAsia="標楷體-繁"/>
                <w:color w:val="000000"/>
                <w:sz w:val="28"/>
                <w:szCs w:val="28"/>
              </w:rPr>
              <w:t>術科補考</w:t>
            </w:r>
            <w:r>
              <w:rPr>
                <w:rFonts w:eastAsia="標楷體-繁" w:cs="標楷體" w:ascii="標楷體-繁" w:hAnsi="標楷體-繁"/>
                <w:color w:val="000000"/>
                <w:sz w:val="28"/>
                <w:szCs w:val="28"/>
              </w:rPr>
              <w:t>/</w:t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ascii="標楷體-繁" w:hAnsi="標楷體-繁" w:cs="標楷體" w:eastAsia="標楷體-繁"/>
                <w:kern w:val="2"/>
                <w:sz w:val="28"/>
                <w:szCs w:val="28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13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05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/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12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ascii="標楷體-繁" w:hAnsi="標楷體-繁" w:cs="標楷體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補救教學（一）</w:t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ascii="標楷體-繁" w:hAnsi="標楷體-繁" w:cs="標楷體" w:eastAsia="標楷體-繁"/>
                <w:kern w:val="2"/>
                <w:sz w:val="28"/>
                <w:szCs w:val="28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14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05</w:t>
            </w: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/</w:t>
            </w: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19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ascii="標楷體-繁" w:hAnsi="標楷體-繁" w:cs="標楷體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補救教學（二）</w:t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ascii="標楷體-繁" w:hAnsi="標楷體-繁" w:cs="標楷體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15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05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/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26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ascii="標楷體-繁" w:hAnsi="標楷體-繁" w:cs="標楷體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課程回顧與展望</w:t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ascii="標楷體-繁" w:hAnsi="標楷體-繁" w:cs="標楷體" w:eastAsia="標楷體-繁"/>
                <w:kern w:val="2"/>
                <w:sz w:val="28"/>
                <w:szCs w:val="28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16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06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/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02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/>
              <w:jc w:val="center"/>
              <w:rPr>
                <w:rFonts w:eastAsia="標楷體-繁"/>
              </w:rPr>
            </w:pPr>
            <w:r>
              <w:rPr>
                <w:rFonts w:eastAsia="標楷體-繁"/>
              </w:rPr>
              <w:t>高三畢業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/>
              <w:jc w:val="center"/>
              <w:rPr>
                <w:rFonts w:ascii="標楷體-繁" w:hAnsi="標楷體-繁" w:eastAsia="標楷體-繁"/>
                <w:sz w:val="28"/>
                <w:szCs w:val="28"/>
              </w:rPr>
            </w:pPr>
            <w:r>
              <w:rPr>
                <w:rFonts w:eastAsia="標楷體-繁" w:cs="標楷體" w:ascii="標楷體-繁" w:hAnsi="標楷體-繁"/>
                <w:color w:val="000000"/>
                <w:sz w:val="28"/>
                <w:szCs w:val="28"/>
              </w:rPr>
              <w:t>/</w:t>
            </w:r>
            <w:r>
              <w:rPr>
                <w:rFonts w:ascii="標楷體-繁" w:hAnsi="標楷體-繁" w:cs="標楷體" w:eastAsia="標楷體-繁"/>
                <w:color w:val="000000"/>
                <w:sz w:val="28"/>
                <w:szCs w:val="28"/>
              </w:rPr>
              <w:t>高三術科期末考</w:t>
            </w:r>
            <w:r>
              <w:rPr>
                <w:rFonts w:eastAsia="標楷體-繁" w:cs="標楷體" w:ascii="標楷體-繁" w:hAnsi="標楷體-繁"/>
                <w:color w:val="000000"/>
                <w:sz w:val="28"/>
                <w:szCs w:val="28"/>
              </w:rPr>
              <w:t>/</w:t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ascii="標楷體-繁" w:hAnsi="標楷體-繁" w:cs="標楷體" w:eastAsia="標楷體-繁"/>
                <w:kern w:val="2"/>
                <w:sz w:val="28"/>
                <w:szCs w:val="28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17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06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/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09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/>
              <w:jc w:val="center"/>
              <w:rPr>
                <w:rFonts w:ascii="標楷體-繁" w:hAnsi="標楷體-繁" w:eastAsia="標楷體-繁"/>
                <w:sz w:val="28"/>
                <w:szCs w:val="28"/>
              </w:rPr>
            </w:pPr>
            <w:r>
              <w:rPr/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/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18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06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/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16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/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/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19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0</w:t>
            </w: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6</w:t>
            </w: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/</w:t>
            </w: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23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/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/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20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6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/</w:t>
            </w: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30</w:t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/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/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21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/>
            </w:r>
          </w:p>
        </w:tc>
        <w:tc>
          <w:tcPr>
            <w:tcW w:w="4467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/>
            </w:r>
          </w:p>
        </w:tc>
        <w:tc>
          <w:tcPr>
            <w:tcW w:w="325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</w:r>
          </w:p>
        </w:tc>
      </w:tr>
    </w:tbl>
    <w:p>
      <w:pPr>
        <w:pStyle w:val="Normal"/>
        <w:spacing w:lineRule="auto" w:line="360"/>
        <w:rPr>
          <w:rFonts w:ascii="標楷體-繁" w:hAnsi="標楷體-繁" w:eastAsia="標楷體-繁"/>
        </w:rPr>
      </w:pPr>
      <w:r>
        <w:rPr/>
      </w:r>
    </w:p>
    <w:sectPr>
      <w:type w:val="nextPage"/>
      <w:pgSz w:w="11906" w:h="16838"/>
      <w:pgMar w:left="720" w:right="720" w:gutter="0" w:header="0" w:top="720" w:footer="0" w:bottom="720"/>
      <w:pgNumType w:fmt="decimal"/>
      <w:formProt w:val="false"/>
      <w:textDirection w:val="lrTb"/>
      <w:docGrid w:type="lines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標楷體-繁">
    <w:charset w:val="01"/>
    <w:family w:val="roman"/>
    <w:pitch w:val="variable"/>
  </w:font>
  <w:font w:name="標楷體-繁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85"/>
  <w:defaultTabStop w:val="480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US" w:eastAsia="zh-TW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新細明體" w:cs="" w:asciiTheme="minorHAnsi" w:cstheme="minorBidi" w:eastAsiaTheme="minorEastAsia" w:hAnsiTheme="minorHAnsi"/>
        <w:kern w:val="2"/>
        <w:sz w:val="24"/>
        <w:szCs w:val="22"/>
        <w:lang w:val="en-US" w:eastAsia="zh-TW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c05a7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新細明體" w:cs="Times New Roman" w:eastAsiaTheme="minorEastAsia"/>
      <w:color w:val="auto"/>
      <w:kern w:val="2"/>
      <w:sz w:val="24"/>
      <w:szCs w:val="20"/>
      <w:lang w:val="en-US" w:eastAsia="zh-TW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頁首 字元"/>
    <w:basedOn w:val="DefaultParagraphFont"/>
    <w:uiPriority w:val="99"/>
    <w:qFormat/>
    <w:rsid w:val="001b5427"/>
    <w:rPr>
      <w:rFonts w:ascii="Times New Roman" w:hAnsi="Times New Roman" w:eastAsia="新細明體" w:cs="Times New Roman"/>
      <w:sz w:val="20"/>
      <w:szCs w:val="20"/>
    </w:rPr>
  </w:style>
  <w:style w:type="character" w:styleId="Style15" w:customStyle="1">
    <w:name w:val="頁尾 字元"/>
    <w:basedOn w:val="DefaultParagraphFont"/>
    <w:uiPriority w:val="99"/>
    <w:qFormat/>
    <w:rsid w:val="001b5427"/>
    <w:rPr>
      <w:rFonts w:ascii="Times New Roman" w:hAnsi="Times New Roman" w:eastAsia="新細明體" w:cs="Times New Roman"/>
      <w:sz w:val="20"/>
      <w:szCs w:val="20"/>
    </w:rPr>
  </w:style>
  <w:style w:type="paragraph" w:styleId="Style16">
    <w:name w:val="標題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Arial Unicode MS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Style20">
    <w:name w:val="索引"/>
    <w:basedOn w:val="Normal"/>
    <w:qFormat/>
    <w:pPr>
      <w:suppressLineNumbers/>
    </w:pPr>
    <w:rPr>
      <w:rFonts w:cs="Arial Unicode MS"/>
    </w:rPr>
  </w:style>
  <w:style w:type="paragraph" w:styleId="Style21">
    <w:name w:val="頁首與頁尾"/>
    <w:basedOn w:val="Normal"/>
    <w:qFormat/>
    <w:pPr/>
    <w:rPr/>
  </w:style>
  <w:style w:type="paragraph" w:styleId="Style22">
    <w:name w:val="Header"/>
    <w:basedOn w:val="Normal"/>
    <w:link w:val="Style14"/>
    <w:uiPriority w:val="99"/>
    <w:unhideWhenUsed/>
    <w:rsid w:val="001b5427"/>
    <w:pPr>
      <w:tabs>
        <w:tab w:val="clear" w:pos="480"/>
        <w:tab w:val="center" w:pos="4153" w:leader="none"/>
        <w:tab w:val="right" w:pos="8306" w:leader="none"/>
      </w:tabs>
      <w:snapToGrid w:val="false"/>
    </w:pPr>
    <w:rPr>
      <w:sz w:val="20"/>
    </w:rPr>
  </w:style>
  <w:style w:type="paragraph" w:styleId="Style23">
    <w:name w:val="Footer"/>
    <w:basedOn w:val="Normal"/>
    <w:link w:val="Style15"/>
    <w:uiPriority w:val="99"/>
    <w:unhideWhenUsed/>
    <w:rsid w:val="001b5427"/>
    <w:pPr>
      <w:tabs>
        <w:tab w:val="clear" w:pos="480"/>
        <w:tab w:val="center" w:pos="4153" w:leader="none"/>
        <w:tab w:val="right" w:pos="8306" w:leader="none"/>
      </w:tabs>
      <w:snapToGrid w:val="false"/>
    </w:pPr>
    <w:rPr>
      <w:sz w:val="20"/>
    </w:rPr>
  </w:style>
  <w:style w:type="paragraph" w:styleId="Style24">
    <w:name w:val="表格內容"/>
    <w:basedOn w:val="Normal"/>
    <w:qFormat/>
    <w:pPr>
      <w:widowControl w:val="false"/>
      <w:suppressLineNumbers/>
    </w:pPr>
    <w:rPr/>
  </w:style>
  <w:style w:type="paragraph" w:styleId="Style25">
    <w:name w:val="表格標題"/>
    <w:basedOn w:val="Style24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dc05a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Application>LibreOffice/7.4.7.2$MacOSX_X86_64 LibreOffice_project/723314e595e8007d3cf785c16538505a1c878ca5</Application>
  <AppVersion>15.0000</AppVersion>
  <Pages>2</Pages>
  <Words>473</Words>
  <Characters>585</Characters>
  <CharactersWithSpaces>600</CharactersWithSpaces>
  <Paragraphs>106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2025-08-22T03:11:00Z</dcterms:created>
  <dc:creator>user</dc:creator>
  <dc:description/>
  <dc:language>zh-Hant</dc:language>
  <cp:lastModifiedBy/>
  <cp:lastPrinted>2021-08-27T02:43:00Z</cp:lastPrinted>
  <dcterms:modified xsi:type="dcterms:W3CDTF">2026-01-29T11:17:00Z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